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88" w:rsidRPr="00763588" w:rsidRDefault="00763588" w:rsidP="007635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CE9FFE7" wp14:editId="4A1C9E68">
            <wp:extent cx="572770" cy="763270"/>
            <wp:effectExtent l="0" t="0" r="0" b="0"/>
            <wp:docPr id="1" name="Рисунок 1" descr="Державний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ржавний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588" w:rsidRPr="00763588" w:rsidRDefault="00763588" w:rsidP="007635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Справа №408/4826/17</w:t>
      </w:r>
    </w:p>
    <w:p w:rsidR="00763588" w:rsidRPr="00763588" w:rsidRDefault="00763588" w:rsidP="007635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Провадження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№1-кп/408/422/18</w:t>
      </w:r>
    </w:p>
    <w:p w:rsidR="00763588" w:rsidRPr="00763588" w:rsidRDefault="00763588" w:rsidP="007635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И Р О К</w:t>
      </w:r>
    </w:p>
    <w:p w:rsidR="00763588" w:rsidRPr="00763588" w:rsidRDefault="00763588" w:rsidP="007635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І М Е Н Е М   У К Р А Ї Н И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06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березня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2018 року              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Біловодський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районний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Луганської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складі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головуючої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судді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                               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Кускової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Т.В.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участю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секретаря                                      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Сіпакової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Л.А.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участю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сторін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кримінального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провадження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прокурора                                                       Задорожного В.В.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захисника                                                        Гаврилюка Р.А.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обвинуваченої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 ОСОБА_2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розглянувши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відкритому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підготовчому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судовому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засіданні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залі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суду в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смт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Біловодськ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кримінальне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провадження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№22017130000000239,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внесене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Єдиного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реєстру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досудових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розслідувань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20.09.2017 року,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відносно</w:t>
      </w:r>
      <w:proofErr w:type="spellEnd"/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ОСОБА_2, </w:t>
      </w: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ІНФОРМАЦІЯ_1,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громадянки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уродженки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смт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Станиця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Луганська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Станично-Луганського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Луганської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заміжня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працює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вчителем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Кіндрашівська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загальноосвітня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школа I- III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ступенів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Станично-Луганського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Луганської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раніше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судимої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зареєстрованої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адресою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АДРЕСА_1,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обвинуваченої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вчиненні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кримінального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правопорушення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передбаченого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ч. 2 </w:t>
      </w:r>
      <w:hyperlink r:id="rId5" w:anchor="564" w:tgtFrame="_blank" w:tooltip="Кримінальний кодекс України; нормативно-правовий акт № 2341-III від 05.04.2001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ст.110 КК </w:t>
        </w:r>
        <w:proofErr w:type="spellStart"/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України</w:t>
        </w:r>
        <w:proofErr w:type="spellEnd"/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-</w:t>
      </w:r>
    </w:p>
    <w:p w:rsidR="00763588" w:rsidRPr="00763588" w:rsidRDefault="00763588" w:rsidP="007635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635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С</w:t>
      </w:r>
      <w:proofErr w:type="gramEnd"/>
      <w:r w:rsidRPr="007635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Т А Н О В И В: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березні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2014 року,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більш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точну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дату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встановити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виявилось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можливим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невстановлених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осіб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матеріали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досудового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розслідування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стосовно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яких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виділені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окреме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провадження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виник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злочинний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умисел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направлений на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зміну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меж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території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державного кордону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порушення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порядку,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встановленого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instrText xml:space="preserve"> HYPERLINK "http://search.ligazakon.ua/l_doc2.nsf/link1/ed_2016_06_02/pravo1/Z960254K.html?pravo=1" \o "КОНСТИТУЦІЯ УКРАЇНИ; нормативно-правовий акт № 254к/96-ВР від 28.06.1996" \t "_blank" </w:instrText>
      </w: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 w:rsidRPr="00763588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ru-RU"/>
        </w:rPr>
        <w:t>Конституцією</w:t>
      </w:r>
      <w:proofErr w:type="spellEnd"/>
      <w:r w:rsidRPr="00763588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ru-RU"/>
        </w:rPr>
        <w:t>України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шляхом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організації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території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Луганської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 званого «референдуму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щодо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підтримки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акту про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державну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самостійність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Луганської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народної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республіки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11.05.2014».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Зазначеними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особами через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довірених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осіб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здійснений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пошук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жителів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Луганської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дали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згоду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участь 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організації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вищевказаного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«референдуму».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Так, 07.05.2014 року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обвинувачена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отримала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особи,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відносно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матеріали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виділені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окреме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провадження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незаконну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усну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вказівку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«Референдуму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щодо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підтримки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акту про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державну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самостійність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Луганської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народної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республіки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смт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Станиця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Луганська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Луганської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приміщенні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Комунального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закладу «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Кіндрашівська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загальноосвітня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школа I- III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ступенів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Станично-Луганського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Луганської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за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адресою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Україна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Луганська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область,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Станично-Луганський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смт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Станиця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Луганська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вул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Шкільна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1.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Крім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того, особа,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відносно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матеріали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виділені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кореме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провадження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зазначив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обвинуваченій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безпосередньою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організацією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території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Станично-Луганського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Луганської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будуть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займатися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заступник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голови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Станично-Луганської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районної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ради та заступник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голови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Станично-Луганської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селищної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ради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Луганської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відносно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яких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матеріали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виділені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окреме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провадження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 той же день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обвинувачена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використовуючи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службові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повноваження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для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організації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процесу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голосування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«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Референдумі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щодо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підтримки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акту про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державну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самостійність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Луганської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народної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республіки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сформувала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виборчу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комісію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розподілом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функцій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 числа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своїх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підлеглих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вчителів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поклавши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себе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обов'язки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голови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зазначеної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виборчої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комісії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10.05.2014 року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обвинувачена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близько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12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години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прибула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приміщення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де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осіб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відносно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яких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матеріали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виділені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окреме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провадження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отримала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урни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голосування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списки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громадян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списки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членів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виборчої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комісії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Виконуючи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відведену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їй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роль,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обвинувачена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 провела з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вищезазначеними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членами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комісії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інструктаж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порядку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«Референдуму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щодо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підтримки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акту про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державну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самостійність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Луганської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народної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республіки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».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Зокрема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вона довела членам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комісії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час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відкриття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закриття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дільниць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роз'яснила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порядок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охорони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виборчої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дільниці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повідомила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 стан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забезпечення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канцтоварами,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скриньками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також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роз'яснила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порядок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роботи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громадянами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подальшому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період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часу з 07.00 до 17.00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години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11.05.2014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обвинувачена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виконуючи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обов'язки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голови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виборчої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комісії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розташованої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приміщенні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комунального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закладу «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Кіндрашівська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загальноосвітня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школа І-ІІІ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ступенів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Станично-Луганського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Луганської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за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допомогоюпідлеглих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вчителів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організувала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провела «Референдум» шляхом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поіменного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письмового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опитування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мешканців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Станично-Луганського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щодо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підтримки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акту про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державну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самостійність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Луганської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народної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республіки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з метою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порушення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територіальної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цілісності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11.05.2014</w:t>
      </w:r>
      <w:proofErr w:type="gram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року ,</w:t>
      </w:r>
      <w:proofErr w:type="gram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після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опитування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керівництвом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обвинуваченої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вказані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особи в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приміщенні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здійснили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підрахунок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голосів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склали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протокол,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який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той же день разом з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бюлетенями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переданий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обвинуваченою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невстановленій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теперішній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час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оголошення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результатів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подальшого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створення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званої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Луганської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народної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республіки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28.09.2017р.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відносно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складено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обвинувальний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акт,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скеровано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 суду</w:t>
      </w:r>
      <w:proofErr w:type="gram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угодою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винуватості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цьому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28.09.2017р.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між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заступником начальника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відділу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прокуратури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Луганської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Задорожнім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В.В. та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підозрюваною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ОСОБА_2, за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участю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захисника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підозрюваної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адвоката Гаврилюка Р.А.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укладено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угоду про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винуватості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відповідності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ст. ст. </w:t>
      </w:r>
      <w:hyperlink r:id="rId6" w:anchor="3395" w:tgtFrame="_blank" w:tooltip="Кримінальний процесуальний кодекс України; нормативно-правовий акт № 4651-VI від 13.04.2012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468</w:t>
        </w:r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7" w:anchor="3399" w:tgtFrame="_blank" w:tooltip="Кримінальний процесуальний кодекс України; нормативно-правовий акт № 4651-VI від 13.04.2012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469</w:t>
        </w:r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8" w:anchor="3419" w:tgtFrame="_blank" w:tooltip="Кримінальний процесуальний кодекс України; нормативно-правовий акт № 4651-VI від 13.04.2012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472 КПК </w:t>
        </w:r>
        <w:proofErr w:type="spellStart"/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України</w:t>
        </w:r>
        <w:proofErr w:type="spellEnd"/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Згідно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угоди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сторони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кримінального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провадження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повністю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дійшли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згоди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щодо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правової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кваліфікації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дій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 за ч. 2 </w:t>
      </w:r>
      <w:hyperlink r:id="rId9" w:anchor="564" w:tgtFrame="_blank" w:tooltip="Кримінальний кодекс України; нормативно-правовий акт № 2341-III від 05.04.2001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ст. 110 КК </w:t>
        </w:r>
        <w:proofErr w:type="spellStart"/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України</w:t>
        </w:r>
        <w:proofErr w:type="spellEnd"/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та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істотних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кримінального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провадження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обставин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підозрювана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повному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обсязі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беззастережно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визнала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свою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винуватість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вчинені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нею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кримінального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правопорушення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передбаченого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ч. 2 </w:t>
      </w:r>
      <w:hyperlink r:id="rId10" w:anchor="564" w:tgtFrame="_blank" w:tooltip="Кримінальний кодекс України; нормативно-правовий акт № 2341-III від 05.04.2001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ст. 110 КК </w:t>
        </w:r>
        <w:proofErr w:type="spellStart"/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України</w:t>
        </w:r>
        <w:proofErr w:type="spellEnd"/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зобов'язалась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беззастережно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визнати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обвинувачення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судовому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провадженні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обсязі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підозри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Вищевказаною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угодою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сторонами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кримінального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провадження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узгоджене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покарання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ч. 2 </w:t>
      </w:r>
      <w:hyperlink r:id="rId11" w:anchor="564" w:tgtFrame="_blank" w:tooltip="Кримінальний кодекс України; нормативно-правовий акт № 2341-III від 05.04.2001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ст. 110 КК </w:t>
        </w:r>
        <w:proofErr w:type="spellStart"/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України</w:t>
        </w:r>
        <w:proofErr w:type="spellEnd"/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вигляді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років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позбавлення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волі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без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конфіскації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майна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із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звільненням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підставі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12" w:anchor="347" w:tgtFrame="_blank" w:tooltip="Кримінальний кодекс України; нормативно-правовий акт № 2341-III від 05.04.2001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ст. 75 КК </w:t>
        </w:r>
        <w:proofErr w:type="spellStart"/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України</w:t>
        </w:r>
        <w:proofErr w:type="spellEnd"/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відбування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основного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покарання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випробуванням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із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визначенням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обовязків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передбачених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13" w:anchor="911618" w:tgtFrame="_blank" w:tooltip="Кримінальний кодекс України; нормативно-правовий акт № 2341-III від 05.04.2001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ст. 76 КК </w:t>
        </w:r>
        <w:proofErr w:type="spellStart"/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України</w:t>
        </w:r>
        <w:proofErr w:type="spellEnd"/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Крім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цього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пунктом 2 ч.2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угодою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визначено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обвинувачена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зобовязується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сприяти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викритті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кримінальному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пересліджуванні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інших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учасників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вчиненного нею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кримінального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правопорушення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саме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ОСОБА_4 та ОСОБА_5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угоді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передбачені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наслідки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укладення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затвердження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угоди про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винуватості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встановлені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ч. 2 </w:t>
      </w:r>
      <w:hyperlink r:id="rId14" w:anchor="3422" w:tgtFrame="_blank" w:tooltip="Кримінальний процесуальний кодекс України; нормативно-правовий акт № 4651-VI від 13.04.2012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ст. 473 КПК </w:t>
        </w:r>
        <w:proofErr w:type="spellStart"/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України</w:t>
        </w:r>
        <w:proofErr w:type="spellEnd"/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наслідки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її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невиконання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Прокурор,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обвинувачена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захисник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обвинуваченої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підготовчому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судовому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засіданні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надали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письмові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уточнення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угоди про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винуватості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зокрема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просили суд, з метою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покращення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становища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обвинуваченої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затвердити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угоду про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винуватості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із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наступним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викладом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п.2 ч.2 угоди,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зокрема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Крім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того, ОСОБА_2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зобовязується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сприяти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правоохоронним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органам та суду 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викритті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інших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співучасників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вчиненого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нею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кримінального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правопорушення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саме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ОСОБА_4 та ОСОБА_5 шляхом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показань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відомі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їй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обставини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організації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 званого «Референдуму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щодо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підтримки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акту про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державну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самостійність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Луганської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народної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республіки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місце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11.05.2014 року 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Станично-Луганському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районі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Луганської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обалсті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Просили суд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затвердити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угоду про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винуватості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саме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такій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редакції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зазначили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сторонами остаточно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узгоджені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істотні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обставини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мають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кримінального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провадження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міра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покарання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Судом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роз'яснені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обвинуваченій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наслідки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укладення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затвердження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угоди про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винуватості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передбачені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ч. 2 </w:t>
      </w:r>
      <w:hyperlink r:id="rId15" w:anchor="3422" w:tgtFrame="_blank" w:tooltip="Кримінальний процесуальний кодекс України; нормативно-правовий акт № 4651-VI від 13.04.2012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ст. 473 КПК </w:t>
        </w:r>
        <w:proofErr w:type="spellStart"/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України</w:t>
        </w:r>
        <w:proofErr w:type="spellEnd"/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також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положення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16" w:anchor="3427" w:tgtFrame="_blank" w:tooltip="Кримінальний процесуальний кодекс України; нормативно-правовий акт № 4651-VI від 13.04.2012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ст. 474 КПК </w:t>
        </w:r>
        <w:proofErr w:type="spellStart"/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України</w:t>
        </w:r>
        <w:proofErr w:type="spellEnd"/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Суд,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заслухавши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думку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учасників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підготовчого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судового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засідання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вивчивши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обвинувальний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акт та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реєстр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матеріалів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досудового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розслідування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кримінальному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провадженні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дослідивши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угоду про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винуватості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уточнення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угоди,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укладених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між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прокурором та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обвинуваченою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за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участю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захисника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обвинуваченої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приходить до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наступних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висновків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Згідно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п. 1 ч. 3 </w:t>
      </w:r>
      <w:hyperlink r:id="rId17" w:anchor="2394" w:tgtFrame="_blank" w:tooltip="Кримінальний процесуальний кодекс України; нормативно-правовий акт № 4651-VI від 13.04.2012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ст. 314 КПК </w:t>
        </w:r>
        <w:proofErr w:type="spellStart"/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України</w:t>
        </w:r>
        <w:proofErr w:type="spellEnd"/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при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прийнятті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рішення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підготовчому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судовому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засіданні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має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право,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зокрема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затвердити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угоду.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Відповідно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п. 2 ч. 1 </w:t>
      </w:r>
      <w:hyperlink r:id="rId18" w:anchor="3395" w:tgtFrame="_blank" w:tooltip="Кримінальний процесуальний кодекс України; нормативно-правовий акт № 4651-VI від 13.04.2012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ст. 468 КПК </w:t>
        </w:r>
        <w:proofErr w:type="spellStart"/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України</w:t>
        </w:r>
        <w:proofErr w:type="spellEnd"/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кримінальному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провадженні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може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бути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укладена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угода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між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прокурором та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підозрюваним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обвинуваченим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винуватості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Як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визначено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пунктом 1 ч. 4 </w:t>
      </w:r>
      <w:hyperlink r:id="rId19" w:anchor="3399" w:tgtFrame="_blank" w:tooltip="Кримінальний процесуальний кодекс України; нормативно-правовий акт № 4651-VI від 13.04.2012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ст. 469 КПК </w:t>
        </w:r>
        <w:proofErr w:type="spellStart"/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України</w:t>
        </w:r>
        <w:proofErr w:type="spellEnd"/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угода про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винуватості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між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прокурором та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підозрюваним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обвинуваченим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може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бути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укладена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провадженні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щодо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кримінальних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проступків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злочинів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невеликої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середньої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тяжкості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тяжких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злочинів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Абзацем 2 п. 2 ч. 4 </w:t>
      </w:r>
      <w:hyperlink r:id="rId20" w:anchor="3399" w:tgtFrame="_blank" w:tooltip="Кримінальний процесуальний кодекс України; нормативно-правовий акт № 4651-VI від 13.04.2012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ст. 469 КПК </w:t>
        </w:r>
        <w:proofErr w:type="spellStart"/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України</w:t>
        </w:r>
        <w:proofErr w:type="spellEnd"/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встановлено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угода про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винуватості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між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прокурором та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підозрюваним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обвинуваченим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може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бути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укладена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щодо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кримінальних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проступків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злочинів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внаслідок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яких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шкода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завдана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лише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державним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суспільним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інтересам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судовому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засіданні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обвинувачена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підтвердила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суду,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вона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беззаперечно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визнає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вину 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вчиненні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злочину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передбаченого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ч.2 </w:t>
      </w:r>
      <w:hyperlink r:id="rId21" w:anchor="564" w:tgtFrame="_blank" w:tooltip="Кримінальний кодекс України; нормативно-правовий акт № 2341-III від 05.04.2001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ст. 110 КК </w:t>
        </w:r>
        <w:proofErr w:type="spellStart"/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України</w:t>
        </w:r>
        <w:proofErr w:type="spellEnd"/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злочин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нею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вчинений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викладених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обвинувальному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обставин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Судом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встановлено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обґрунтовано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обвинувачується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вчиненні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злочину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передбаченого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ч. 2 </w:t>
      </w:r>
      <w:hyperlink r:id="rId22" w:anchor="564" w:tgtFrame="_blank" w:tooltip="Кримінальний кодекс України; нормативно-правовий акт № 2341-III від 05.04.2001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ст. 110 КК </w:t>
        </w:r>
        <w:proofErr w:type="spellStart"/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України</w:t>
        </w:r>
        <w:proofErr w:type="spellEnd"/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оскільки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вона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приймаючи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участь 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підготовці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організації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«Референдуму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щодо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підтримки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акту про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державну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самостійність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«ЛНР)»,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умисно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вчинила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дії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з метою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зміни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 еж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території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державного кордону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порушення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порядку,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встановленого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Конституцією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за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попередньою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змовою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групою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осіб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тобто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вчинила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злочин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передбачений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ч. 2 ст. 110 КК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саме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посягання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територіальну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цілісність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і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недоторканність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цьому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судовому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засіданні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судом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з'ясовано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обвинувачена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цілком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розуміє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права,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визначені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п. 1 ч. 4 </w:t>
      </w:r>
      <w:hyperlink r:id="rId23" w:anchor="3427" w:tgtFrame="_blank" w:tooltip="Кримінальний процесуальний кодекс України; нормативно-правовий акт № 4651-VI від 13.04.2012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ст. 474 КПК </w:t>
        </w:r>
        <w:proofErr w:type="spellStart"/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України</w:t>
        </w:r>
        <w:proofErr w:type="spellEnd"/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наслідки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укладення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затвердження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угоди,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передбачені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ч. 2 </w:t>
      </w:r>
      <w:hyperlink r:id="rId24" w:anchor="3422" w:tgtFrame="_blank" w:tooltip="Кримінальний процесуальний кодекс України; нормативно-правовий акт № 4651-VI від 13.04.2012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ст. 473 КПК </w:t>
        </w:r>
        <w:proofErr w:type="spellStart"/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України</w:t>
        </w:r>
        <w:proofErr w:type="spellEnd"/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характер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обвинувачення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вид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покарання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також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інші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заходи,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будуть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застосовані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затвердження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угоди судом.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Суд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переконався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укладення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угоди сторонами є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добровільним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тобто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є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наслідком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застосування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насильства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примусу,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погроз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наслідком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обіцянок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дій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будь-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яких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інших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обставин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ніж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передбачені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угоді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Також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судом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встановлено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умови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угоди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відповідають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вимогам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instrText xml:space="preserve"> HYPERLINK "http://search.ligazakon.ua/l_doc2.nsf/link1/ed_2018_01_07/pravo1/T124651.html?pravo=1" \o "Кримінальний процесуальний кодекс України; нормативно-правовий акт № 4651-VI від 13.04.2012" \t "_blank" </w:instrText>
      </w: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 w:rsidRPr="00763588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ru-RU"/>
        </w:rPr>
        <w:t>Кримінального</w:t>
      </w:r>
      <w:proofErr w:type="spellEnd"/>
      <w:r w:rsidRPr="00763588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ru-RU"/>
        </w:rPr>
        <w:t>процесуального</w:t>
      </w:r>
      <w:proofErr w:type="spellEnd"/>
      <w:r w:rsidRPr="00763588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ru-RU"/>
        </w:rPr>
        <w:t xml:space="preserve"> Кодексу </w:t>
      </w:r>
      <w:proofErr w:type="spellStart"/>
      <w:r w:rsidRPr="00763588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ru-RU"/>
        </w:rPr>
        <w:t>України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та 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instrText xml:space="preserve"> HYPERLINK "http://search.ligazakon.ua/l_doc2.nsf/link1/ed_2018_02_08/pravo1/T012341.html?pravo=1" \o "Кримінальний кодекс України; нормативно-правовий акт № 2341-III від 05.04.2001" \t "_blank" </w:instrText>
      </w: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 w:rsidRPr="00763588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ru-RU"/>
        </w:rPr>
        <w:t>Кримінального</w:t>
      </w:r>
      <w:proofErr w:type="spellEnd"/>
      <w:r w:rsidRPr="00763588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ru-RU"/>
        </w:rPr>
        <w:t xml:space="preserve"> кодексу </w:t>
      </w:r>
      <w:proofErr w:type="spellStart"/>
      <w:r w:rsidRPr="00763588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ru-RU"/>
        </w:rPr>
        <w:t>України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Покарання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сторонами угоди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визначено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відповідності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положень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ст. ст. </w:t>
      </w:r>
      <w:hyperlink r:id="rId25" w:anchor="199" w:tgtFrame="_blank" w:tooltip="Кримінальний кодекс України; нормативно-правовий акт № 2341-III від 05.04.2001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50</w:t>
        </w:r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26" w:anchor="267" w:tgtFrame="_blank" w:tooltip="Кримінальний кодекс України; нормативно-правовий акт № 2341-III від 05.04.2001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65-67 КК </w:t>
        </w:r>
        <w:proofErr w:type="spellStart"/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України</w:t>
        </w:r>
        <w:proofErr w:type="spellEnd"/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з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урахуванням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характеру та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тяжкості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злочину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вчиненні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обвинувачується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даних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її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особу,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обставин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пом'якшують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покарання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щире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каяття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відсутності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обставин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обтяжують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покарання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призначенні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покарання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обвинуваченій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ОСОБА_2суд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враховує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умови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угоди про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винуватості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proofErr w:type="gram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укладеної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28</w:t>
      </w:r>
      <w:proofErr w:type="gram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вересня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2017 року, і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узгоджену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сторонами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міру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покарання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вважає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таке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покарання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належить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їй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призначити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урахуванням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тяжкості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вчиненого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кримінального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правопорушення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особи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обвинуваченої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яка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раніше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судима,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має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постійне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місце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проживання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у вчиненному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щиро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кається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Цивільний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позов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заявлений.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Процесуальні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витрати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відсутні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Питання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речові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докази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вважає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необхідне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вирішити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відповідно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 </w:t>
      </w:r>
      <w:hyperlink r:id="rId27" w:anchor="779" w:tgtFrame="_blank" w:tooltip="Кримінальний процесуальний кодекс України; нормативно-правовий акт № 4651-VI від 13.04.2012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ст. 100 КПК </w:t>
        </w:r>
        <w:proofErr w:type="spellStart"/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України</w:t>
        </w:r>
        <w:proofErr w:type="spellEnd"/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підставі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викладеного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керуючись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ст. ст. </w:t>
      </w:r>
      <w:hyperlink r:id="rId28" w:anchor="2394" w:tgtFrame="_blank" w:tooltip="Кримінальний процесуальний кодекс України; нормативно-правовий акт № 4651-VI від 13.04.2012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314</w:t>
        </w:r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29" w:anchor="2722" w:tgtFrame="_blank" w:tooltip="Кримінальний процесуальний кодекс України; нормативно-правовий акт № 4651-VI від 13.04.2012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373</w:t>
        </w:r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30" w:anchor="2730" w:tgtFrame="_blank" w:tooltip="Кримінальний процесуальний кодекс України; нормативно-правовий акт № 4651-VI від 13.04.2012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374</w:t>
        </w:r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31" w:anchor="3458" w:tgtFrame="_blank" w:tooltip="Кримінальний процесуальний кодекс України; нормативно-правовий акт № 4651-VI від 13.04.2012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475 КПК </w:t>
        </w:r>
        <w:proofErr w:type="spellStart"/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України</w:t>
        </w:r>
        <w:proofErr w:type="spellEnd"/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суд, -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</w:t>
      </w:r>
    </w:p>
    <w:p w:rsidR="00763588" w:rsidRPr="00763588" w:rsidRDefault="00763588" w:rsidP="007635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З А С У Д И </w:t>
      </w:r>
      <w:proofErr w:type="gramStart"/>
      <w:r w:rsidRPr="007635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:</w:t>
      </w:r>
      <w:proofErr w:type="gramEnd"/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Затвердити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угоду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28.09.2017р.,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укладену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між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заступником начальника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відділу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прокуратури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Луганської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Задорожнім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В.В. та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підозрюваною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ОСОБА_2, за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участю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захисника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ОСОБА_6 про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винуватості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Визнати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 винною 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вчиненні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кримінального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правопорушення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передбаченого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ч.2 </w:t>
      </w:r>
      <w:hyperlink r:id="rId32" w:anchor="564" w:tgtFrame="_blank" w:tooltip="Кримінальний кодекс України; нормативно-правовий акт № 2341-III від 05.04.2001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ст.110 КК </w:t>
        </w:r>
        <w:proofErr w:type="spellStart"/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України</w:t>
        </w:r>
        <w:proofErr w:type="spellEnd"/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та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призначити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їй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покарання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вигляді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позбавлення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волі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строк 5 (пять)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років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без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конфіскації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майна.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підставі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75 </w:t>
      </w:r>
      <w:hyperlink r:id="rId33" w:tgtFrame="_blank" w:tooltip="Кримінальний кодекс України; нормативно-правовий акт № 2341-III від 05.04.2001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КК </w:t>
        </w:r>
        <w:proofErr w:type="spellStart"/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України</w:t>
        </w:r>
        <w:proofErr w:type="spellEnd"/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звільнити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7635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ОСОБА_2</w:t>
      </w: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відбування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покарання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випробуванням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іспитовим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строком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1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рік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підставі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34" w:anchor="911618" w:tgtFrame="_blank" w:tooltip="Кримінальний кодекс України; нормативно-правовий акт № 2341-III від 05.04.2001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ст. 76 КК </w:t>
        </w:r>
        <w:proofErr w:type="spellStart"/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України</w:t>
        </w:r>
        <w:proofErr w:type="spellEnd"/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покласти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 </w:t>
      </w:r>
      <w:r w:rsidRPr="007635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ОСОБА_2</w:t>
      </w: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наступні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обов'язки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- не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виїжджати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без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дозволу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уповноваженого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органу з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питань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пробації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повідомляти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уповноважений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 з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питань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пробації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зміну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проживання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роботи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Періодично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зявлятись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реєстрацію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уповноваженого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органу з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питань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пробації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Речові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докази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саме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конверт з документами (а.с.47), диск (а.с.96)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залишити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матеріалах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кримінального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провадження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Вирок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набирає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сили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після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закінчення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строку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подання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апеляційної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скарги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якщо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скаргу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подано.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Апеляційна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скарга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може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бути подана до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апеляційного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суду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Луганської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через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Біловодський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районний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Луганської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області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протягом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30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днів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 дня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проголошення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вироку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лише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підстав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визначених</w:t>
      </w:r>
      <w:proofErr w:type="spellEnd"/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ч. 4 </w:t>
      </w:r>
      <w:hyperlink r:id="rId35" w:anchor="2894" w:tgtFrame="_blank" w:tooltip="Кримінальний процесуальний кодекс України; нормативно-правовий акт № 4651-VI від 13.04.2012" w:history="1"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ст. 394 КПК </w:t>
        </w:r>
        <w:proofErr w:type="spellStart"/>
        <w:r w:rsidRPr="007635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України</w:t>
        </w:r>
        <w:proofErr w:type="spellEnd"/>
      </w:hyperlink>
      <w:r w:rsidRPr="00763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63588" w:rsidRPr="00763588" w:rsidRDefault="00763588" w:rsidP="007635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635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Головуючий</w:t>
      </w:r>
      <w:proofErr w:type="spellEnd"/>
      <w:r w:rsidRPr="007635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7635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суддя</w:t>
      </w:r>
      <w:proofErr w:type="spellEnd"/>
      <w:r w:rsidRPr="007635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 Кускова Т.В.</w:t>
      </w:r>
    </w:p>
    <w:p w:rsidR="00EE0303" w:rsidRDefault="00EE0303">
      <w:bookmarkStart w:id="0" w:name="_GoBack"/>
      <w:bookmarkEnd w:id="0"/>
    </w:p>
    <w:sectPr w:rsidR="00EE0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E2"/>
    <w:rsid w:val="006F32E2"/>
    <w:rsid w:val="00763588"/>
    <w:rsid w:val="00E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8CA8F-5647-4987-8352-0071A195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2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an_3419/ed_2018_01_07/pravo1/T124651.html?pravo=1" TargetMode="External"/><Relationship Id="rId13" Type="http://schemas.openxmlformats.org/officeDocument/2006/relationships/hyperlink" Target="http://search.ligazakon.ua/l_doc2.nsf/link1/an_911618/ed_2018_02_08/pravo1/T012341.html?pravo=1" TargetMode="External"/><Relationship Id="rId18" Type="http://schemas.openxmlformats.org/officeDocument/2006/relationships/hyperlink" Target="http://search.ligazakon.ua/l_doc2.nsf/link1/an_3395/ed_2018_01_07/pravo1/T124651.html?pravo=1" TargetMode="External"/><Relationship Id="rId26" Type="http://schemas.openxmlformats.org/officeDocument/2006/relationships/hyperlink" Target="http://search.ligazakon.ua/l_doc2.nsf/link1/an_267/ed_2018_02_08/pravo1/T012341.html?pravo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earch.ligazakon.ua/l_doc2.nsf/link1/an_564/ed_2018_02_08/pravo1/T012341.html?pravo=1" TargetMode="External"/><Relationship Id="rId34" Type="http://schemas.openxmlformats.org/officeDocument/2006/relationships/hyperlink" Target="http://search.ligazakon.ua/l_doc2.nsf/link1/an_911618/ed_2018_02_08/pravo1/T012341.html?pravo=1" TargetMode="External"/><Relationship Id="rId7" Type="http://schemas.openxmlformats.org/officeDocument/2006/relationships/hyperlink" Target="http://search.ligazakon.ua/l_doc2.nsf/link1/an_3399/ed_2018_01_07/pravo1/T124651.html?pravo=1" TargetMode="External"/><Relationship Id="rId12" Type="http://schemas.openxmlformats.org/officeDocument/2006/relationships/hyperlink" Target="http://search.ligazakon.ua/l_doc2.nsf/link1/an_347/ed_2018_02_08/pravo1/T012341.html?pravo=1" TargetMode="External"/><Relationship Id="rId17" Type="http://schemas.openxmlformats.org/officeDocument/2006/relationships/hyperlink" Target="http://search.ligazakon.ua/l_doc2.nsf/link1/an_2394/ed_2018_01_07/pravo1/T124651.html?pravo=1" TargetMode="External"/><Relationship Id="rId25" Type="http://schemas.openxmlformats.org/officeDocument/2006/relationships/hyperlink" Target="http://search.ligazakon.ua/l_doc2.nsf/link1/an_199/ed_2018_02_08/pravo1/T012341.html?pravo=1" TargetMode="External"/><Relationship Id="rId33" Type="http://schemas.openxmlformats.org/officeDocument/2006/relationships/hyperlink" Target="http://search.ligazakon.ua/l_doc2.nsf/link1/ed_2018_02_08/pravo1/T012341.html?pravo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earch.ligazakon.ua/l_doc2.nsf/link1/an_3427/ed_2018_01_07/pravo1/T124651.html?pravo=1" TargetMode="External"/><Relationship Id="rId20" Type="http://schemas.openxmlformats.org/officeDocument/2006/relationships/hyperlink" Target="http://search.ligazakon.ua/l_doc2.nsf/link1/an_3399/ed_2018_01_07/pravo1/T124651.html?pravo=1" TargetMode="External"/><Relationship Id="rId29" Type="http://schemas.openxmlformats.org/officeDocument/2006/relationships/hyperlink" Target="http://search.ligazakon.ua/l_doc2.nsf/link1/an_2722/ed_2018_01_07/pravo1/T124651.html?pravo=1" TargetMode="Externa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an_3395/ed_2018_01_07/pravo1/T124651.html?pravo=1" TargetMode="External"/><Relationship Id="rId11" Type="http://schemas.openxmlformats.org/officeDocument/2006/relationships/hyperlink" Target="http://search.ligazakon.ua/l_doc2.nsf/link1/an_564/ed_2018_02_08/pravo1/T012341.html?pravo=1" TargetMode="External"/><Relationship Id="rId24" Type="http://schemas.openxmlformats.org/officeDocument/2006/relationships/hyperlink" Target="http://search.ligazakon.ua/l_doc2.nsf/link1/an_3422/ed_2018_01_07/pravo1/T124651.html?pravo=1" TargetMode="External"/><Relationship Id="rId32" Type="http://schemas.openxmlformats.org/officeDocument/2006/relationships/hyperlink" Target="http://search.ligazakon.ua/l_doc2.nsf/link1/an_564/ed_2018_02_08/pravo1/T012341.html?pravo=1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search.ligazakon.ua/l_doc2.nsf/link1/an_564/ed_2018_02_08/pravo1/T012341.html?pravo=1" TargetMode="External"/><Relationship Id="rId15" Type="http://schemas.openxmlformats.org/officeDocument/2006/relationships/hyperlink" Target="http://search.ligazakon.ua/l_doc2.nsf/link1/an_3422/ed_2018_01_07/pravo1/T124651.html?pravo=1" TargetMode="External"/><Relationship Id="rId23" Type="http://schemas.openxmlformats.org/officeDocument/2006/relationships/hyperlink" Target="http://search.ligazakon.ua/l_doc2.nsf/link1/an_3427/ed_2018_01_07/pravo1/T124651.html?pravo=1" TargetMode="External"/><Relationship Id="rId28" Type="http://schemas.openxmlformats.org/officeDocument/2006/relationships/hyperlink" Target="http://search.ligazakon.ua/l_doc2.nsf/link1/an_2394/ed_2018_01_07/pravo1/T124651.html?pravo=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search.ligazakon.ua/l_doc2.nsf/link1/an_564/ed_2018_02_08/pravo1/T012341.html?pravo=1" TargetMode="External"/><Relationship Id="rId19" Type="http://schemas.openxmlformats.org/officeDocument/2006/relationships/hyperlink" Target="http://search.ligazakon.ua/l_doc2.nsf/link1/an_3399/ed_2018_01_07/pravo1/T124651.html?pravo=1" TargetMode="External"/><Relationship Id="rId31" Type="http://schemas.openxmlformats.org/officeDocument/2006/relationships/hyperlink" Target="http://search.ligazakon.ua/l_doc2.nsf/link1/an_3458/ed_2018_01_07/pravo1/T124651.html?pravo=1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search.ligazakon.ua/l_doc2.nsf/link1/an_564/ed_2018_02_08/pravo1/T012341.html?pravo=1" TargetMode="External"/><Relationship Id="rId14" Type="http://schemas.openxmlformats.org/officeDocument/2006/relationships/hyperlink" Target="http://search.ligazakon.ua/l_doc2.nsf/link1/an_3422/ed_2018_01_07/pravo1/T124651.html?pravo=1" TargetMode="External"/><Relationship Id="rId22" Type="http://schemas.openxmlformats.org/officeDocument/2006/relationships/hyperlink" Target="http://search.ligazakon.ua/l_doc2.nsf/link1/an_564/ed_2018_02_08/pravo1/T012341.html?pravo=1" TargetMode="External"/><Relationship Id="rId27" Type="http://schemas.openxmlformats.org/officeDocument/2006/relationships/hyperlink" Target="http://search.ligazakon.ua/l_doc2.nsf/link1/an_779/ed_2018_01_07/pravo1/T124651.html?pravo=1" TargetMode="External"/><Relationship Id="rId30" Type="http://schemas.openxmlformats.org/officeDocument/2006/relationships/hyperlink" Target="http://search.ligazakon.ua/l_doc2.nsf/link1/an_2730/ed_2018_01_07/pravo1/T124651.html?pravo=1" TargetMode="External"/><Relationship Id="rId35" Type="http://schemas.openxmlformats.org/officeDocument/2006/relationships/hyperlink" Target="http://search.ligazakon.ua/l_doc2.nsf/link1/an_2894/ed_2018_01_07/pravo1/T124651.html?prav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2973</Words>
  <Characters>16948</Characters>
  <Application>Microsoft Office Word</Application>
  <DocSecurity>0</DocSecurity>
  <Lines>141</Lines>
  <Paragraphs>39</Paragraphs>
  <ScaleCrop>false</ScaleCrop>
  <Company>Microsoft</Company>
  <LinksUpToDate>false</LinksUpToDate>
  <CharactersWithSpaces>19882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2018-06-07T11:46:00Z</dcterms:created>
  <dcterms:modified xsi:type="dcterms:W3CDTF">2018-06-07T11:46:00Z</dcterms:modified>
</cp:coreProperties>
</file>